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C9D86">
      <w:pPr>
        <w:jc w:val="center"/>
        <w:rPr>
          <w:rFonts w:hint="eastAsia" w:ascii="宋体" w:hAnsi="宋体" w:eastAsia="宋体" w:cs="宋体"/>
          <w:b/>
          <w:bCs/>
          <w:color w:val="auto"/>
          <w:sz w:val="36"/>
          <w:szCs w:val="36"/>
        </w:rPr>
      </w:pPr>
      <w:bookmarkStart w:id="0" w:name="_GoBack"/>
      <w:r>
        <w:rPr>
          <w:rFonts w:hint="eastAsia" w:ascii="宋体" w:hAnsi="宋体" w:eastAsia="宋体" w:cs="宋体"/>
          <w:b/>
          <w:bCs/>
          <w:color w:val="auto"/>
          <w:sz w:val="36"/>
          <w:szCs w:val="36"/>
        </w:rPr>
        <w:t>《科技创业月刊》学术伦理审查制度</w:t>
      </w:r>
    </w:p>
    <w:bookmarkEnd w:id="0"/>
    <w:p w14:paraId="5F216916">
      <w:pPr>
        <w:ind w:firstLine="560" w:firstLineChars="200"/>
        <w:rPr>
          <w:rFonts w:hint="eastAsia" w:ascii="宋体" w:hAnsi="宋体" w:eastAsia="宋体" w:cs="宋体"/>
          <w:color w:val="auto"/>
          <w:sz w:val="28"/>
          <w:szCs w:val="28"/>
        </w:rPr>
      </w:pPr>
    </w:p>
    <w:p w14:paraId="3CD98556">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第一章　总则</w:t>
      </w:r>
    </w:p>
    <w:p w14:paraId="3B70882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第一条　为维护学术诚信，规范学术出版行为，防范学术不端，保障《科技创业月刊》（以下简称“本刊”）的学术质量和出版声誉，依据《中华人民共和国科学技术进步法》《科技伦理审查办法（试行）》、中国科学技术协会《科技期刊出版伦理规范》、CY/T 174—2019《学术出版规范期刊学术不端行为界定》以及国际出版伦理委员会（COPE）核心准则等，结合本刊实际，制定本制度。</w:t>
      </w:r>
    </w:p>
    <w:p w14:paraId="7DCED65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第二条　本制度适用于向本刊投稿的所有作者、参与稿件评审的审稿专家、本刊编辑人员及编委会成员。</w:t>
      </w:r>
    </w:p>
    <w:p w14:paraId="4A892AB1">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第三条　学术伦理审查应坚持科学、独立、公正、透明的原则，公开审查制度和审查程序，客观审慎评估学术活动中的伦理风险。</w:t>
      </w:r>
    </w:p>
    <w:p w14:paraId="3D00AC7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第四条　本刊对抄袭剽窃、数据造假、重复发表、不当署名、一稿多投、虚假引用等学术不端行为实行零容忍政策。</w:t>
      </w:r>
    </w:p>
    <w:p w14:paraId="27C0631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第二章　作者伦理规范</w:t>
      </w:r>
    </w:p>
    <w:p w14:paraId="5AF4CD4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第五条　原创性与真实性</w:t>
      </w:r>
    </w:p>
    <w:p w14:paraId="2A415049">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（一）作者应保证所投稿件为原创性研究成果，未在国内外公开发表，不得一稿多投、重复发表或拆分发表。</w:t>
      </w:r>
    </w:p>
    <w:p w14:paraId="4AF7D1E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（二）稿件中所有数据应真实、完整、准确，来源合法合规，严禁伪造、篡改、选择性报告数据，严禁编造实验数据、图表及统计结果，不得隐瞒与研究结论相悖的关键数据。</w:t>
      </w:r>
    </w:p>
    <w:p w14:paraId="107030E2">
      <w:pPr>
        <w:rPr>
          <w:rFonts w:hint="eastAsia" w:ascii="宋体" w:hAnsi="宋体" w:eastAsia="宋体" w:cs="宋体"/>
          <w:color w:val="auto"/>
          <w:sz w:val="28"/>
          <w:szCs w:val="28"/>
        </w:rPr>
      </w:pPr>
    </w:p>
    <w:p w14:paraId="2091CAB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（三）使用他人作品或文字，应当以规范方式注明出处并列入参考文献。</w:t>
      </w:r>
    </w:p>
    <w:p w14:paraId="4AA0682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第六条　作者署名</w:t>
      </w:r>
    </w:p>
    <w:p w14:paraId="6671697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（一）所有署名作者均应对研究工作做出实质性学术贡献，包括参与研究设计、数据获取与分析、论文撰写或关键内容修改等。</w:t>
      </w:r>
    </w:p>
    <w:p w14:paraId="00C070AF">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w:t>
      </w:r>
      <w:r>
        <w:rPr>
          <w:rFonts w:hint="eastAsia" w:ascii="宋体" w:hAnsi="宋体" w:eastAsia="宋体" w:cs="宋体"/>
          <w:color w:val="auto"/>
          <w:sz w:val="28"/>
          <w:szCs w:val="28"/>
          <w:lang w:val="en-US" w:eastAsia="zh-CN"/>
        </w:rPr>
        <w:t>通讯</w:t>
      </w:r>
      <w:r>
        <w:rPr>
          <w:rFonts w:hint="eastAsia" w:ascii="宋体" w:hAnsi="宋体" w:eastAsia="宋体" w:cs="宋体"/>
          <w:color w:val="auto"/>
          <w:sz w:val="28"/>
          <w:szCs w:val="28"/>
        </w:rPr>
        <w:t>作者应负责投稿前全体作者的资格审核和署名确认，投稿后不得随意变更作者署名及顺序。</w:t>
      </w:r>
    </w:p>
    <w:p w14:paraId="1961054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（三）未满足实质性贡献标准者不宜列为作者，可在“致谢”中表示感谢。</w:t>
      </w:r>
    </w:p>
    <w:p w14:paraId="72403F69">
      <w:pPr>
        <w:rPr>
          <w:rFonts w:hint="eastAsia" w:ascii="宋体" w:hAnsi="宋体" w:eastAsia="宋体" w:cs="宋体"/>
          <w:color w:val="auto"/>
          <w:sz w:val="28"/>
          <w:szCs w:val="28"/>
        </w:rPr>
      </w:pPr>
    </w:p>
    <w:p w14:paraId="6DF64A9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第七条　利益冲突与资助声明</w:t>
      </w:r>
    </w:p>
    <w:p w14:paraId="7F966A41">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（一）作者应在稿件中披露所有可能与研究相关的学术、经济、专利及其他潜在利益冲突。</w:t>
      </w:r>
    </w:p>
    <w:p w14:paraId="33C2613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（二）应如实列出与研究直接相关的全部资助来源及项目编号。</w:t>
      </w:r>
    </w:p>
    <w:p w14:paraId="5CF9EFB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第八条　涉及人的研究伦理要求</w:t>
      </w:r>
    </w:p>
    <w:p w14:paraId="3F997C3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当论文以人为研究对象时，作者应说明其遵循的程序是否符合所在单位、地区或国家伦理审查委员会制定的伦理学标准，并提供该委员会的批准文件复印件及批准文号；涉及受试者的，应说明是否取得受试对象或其监护人的知情同意。</w:t>
      </w:r>
    </w:p>
    <w:p w14:paraId="0016A6B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第九条　涉及动物的研究伦理要求</w:t>
      </w:r>
    </w:p>
    <w:p w14:paraId="6E395182">
      <w:pPr>
        <w:rPr>
          <w:rFonts w:hint="eastAsia" w:ascii="宋体" w:hAnsi="宋体" w:eastAsia="宋体" w:cs="宋体"/>
          <w:color w:val="auto"/>
          <w:sz w:val="28"/>
          <w:szCs w:val="28"/>
        </w:rPr>
      </w:pPr>
    </w:p>
    <w:p w14:paraId="5B0DD335">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涉及动物实验的研究，作者应声明遵循了国际、国家或机构关于实验动物护理与使用的相关指导原则，并提供所在单位或相关部门动物伦理委员会的审批文号。</w:t>
      </w:r>
    </w:p>
    <w:p w14:paraId="6C34F7A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第十条　人工智能（AI）工具使用规范</w:t>
      </w:r>
    </w:p>
    <w:p w14:paraId="56704E68">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（一）本刊不接受任何生成式人工智能工具作为论文署名作者。</w:t>
      </w:r>
    </w:p>
    <w:p w14:paraId="7F90C31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生成式人工智能工具在投稿中的应用，仅限于语言润色、文献检索、数据整理与分析等非核心研究环节。不得使用AI生成论文全文或包含实质性、关键性内容（如主体架构、核心观点、研究假设、数据解释、结论建议等）。</w:t>
      </w:r>
    </w:p>
    <w:p w14:paraId="11736361">
      <w:pPr>
        <w:ind w:firstLine="280" w:firstLineChars="100"/>
        <w:rPr>
          <w:rFonts w:hint="eastAsia" w:ascii="宋体" w:hAnsi="宋体" w:eastAsia="宋体" w:cs="宋体"/>
          <w:color w:val="auto"/>
          <w:sz w:val="28"/>
          <w:szCs w:val="28"/>
        </w:rPr>
      </w:pPr>
      <w:r>
        <w:rPr>
          <w:rFonts w:hint="eastAsia" w:ascii="宋体" w:hAnsi="宋体" w:eastAsia="宋体" w:cs="宋体"/>
          <w:color w:val="auto"/>
          <w:sz w:val="28"/>
          <w:szCs w:val="28"/>
        </w:rPr>
        <w:t>（三）如确在论文撰写过程中使用了AI辅助工具，应在稿件中如实说明使用情况，包括使用工具名称、使用环节及具体用途。</w:t>
      </w:r>
    </w:p>
    <w:p w14:paraId="31CA332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（四）本刊保留对稿件进行AI生成内容筛查的权利，一经发现违规使用情形，视情节轻重作退稿或撤稿处理。</w:t>
      </w:r>
    </w:p>
    <w:p w14:paraId="50CCE9E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第十一条　投稿前自查</w:t>
      </w:r>
    </w:p>
    <w:p w14:paraId="70D6DCF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作者投稿前应自行进行学术不端检测，确保知网查重率符合本刊要求（详见投稿须知），并逐条确认论文是否符合本刊出版伦理规范。</w:t>
      </w:r>
    </w:p>
    <w:p w14:paraId="0CF259EC">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第三章　编辑伦理规范</w:t>
      </w:r>
    </w:p>
    <w:p w14:paraId="4DD5EA17">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第十二条　公正与公平</w:t>
      </w:r>
    </w:p>
    <w:p w14:paraId="2BA3587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（一）编辑应公平、公正、及时地处理每一篇稿件，仅依据论文的科学性、创新性、可读性及与期刊定位的匹配度做出审稿决定。</w:t>
      </w:r>
    </w:p>
    <w:p w14:paraId="089FA07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（二）不得对作者的性别、工作单位、职称、学术荣誉、种族、国别等存在偏见。</w:t>
      </w:r>
    </w:p>
    <w:p w14:paraId="14C89F62">
      <w:pPr>
        <w:rPr>
          <w:rFonts w:hint="eastAsia" w:ascii="宋体" w:hAnsi="宋体" w:eastAsia="宋体" w:cs="宋体"/>
          <w:color w:val="auto"/>
          <w:sz w:val="28"/>
          <w:szCs w:val="28"/>
        </w:rPr>
      </w:pPr>
    </w:p>
    <w:p w14:paraId="64FA04C8">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第十三条　保密义务</w:t>
      </w:r>
    </w:p>
    <w:p w14:paraId="146F989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编辑应遵守保密原则，一方面对作者的研究内容保密，另一方面对审稿专家的信息及审稿意见保密。</w:t>
      </w:r>
    </w:p>
    <w:p w14:paraId="6D8BC92F">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第十四条　学术不端检测</w:t>
      </w:r>
    </w:p>
    <w:p w14:paraId="22E6959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编辑应在投稿、初审、录用等环节使用中国知网“科技期刊学术不端文献检测系统”（AMLC）等工具对稿件开展学术不端检测。对检测结果异常的稿件，应启动人工复核程序。</w:t>
      </w:r>
    </w:p>
    <w:p w14:paraId="694E5089">
      <w:pPr>
        <w:rPr>
          <w:rFonts w:hint="eastAsia" w:ascii="宋体" w:hAnsi="宋体" w:eastAsia="宋体" w:cs="宋体"/>
          <w:color w:val="auto"/>
          <w:sz w:val="28"/>
          <w:szCs w:val="28"/>
        </w:rPr>
      </w:pPr>
    </w:p>
    <w:p w14:paraId="001478F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第十五条　同行评议管理</w:t>
      </w:r>
    </w:p>
    <w:p w14:paraId="79CF004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rPr>
        <w:t>）编辑应合理选择研究方向一致的评审专家，回避与作者存在利益冲突（如项目组成员、同事关系、亲属关系等）的专家。</w:t>
      </w:r>
    </w:p>
    <w:p w14:paraId="002230CB">
      <w:p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二</w:t>
      </w:r>
      <w:r>
        <w:rPr>
          <w:rFonts w:hint="eastAsia" w:ascii="宋体" w:hAnsi="宋体" w:eastAsia="宋体" w:cs="宋体"/>
          <w:color w:val="auto"/>
          <w:sz w:val="28"/>
          <w:szCs w:val="28"/>
        </w:rPr>
        <w:t>）编辑不得受利益驱使干预评审专家的评议过程，确保同行专家独立地给出评审建议。</w:t>
      </w:r>
      <w:r>
        <w:rPr>
          <w:rFonts w:hint="eastAsia" w:ascii="宋体" w:hAnsi="宋体" w:eastAsia="宋体" w:cs="宋体"/>
          <w:color w:val="auto"/>
          <w:sz w:val="28"/>
          <w:szCs w:val="28"/>
          <w:lang w:val="en-US" w:eastAsia="zh-CN"/>
        </w:rPr>
        <w:t xml:space="preserve">  </w:t>
      </w:r>
    </w:p>
    <w:p w14:paraId="1EF4D667">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三</w:t>
      </w:r>
      <w:r>
        <w:rPr>
          <w:rFonts w:hint="eastAsia" w:ascii="宋体" w:hAnsi="宋体" w:eastAsia="宋体" w:cs="宋体"/>
          <w:color w:val="auto"/>
          <w:sz w:val="28"/>
          <w:szCs w:val="28"/>
        </w:rPr>
        <w:t>）编辑应自觉回避与自身存在利益冲突的稿件的送审工作。</w:t>
      </w:r>
    </w:p>
    <w:p w14:paraId="5D66960E">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第四章　审稿专家伦理规范</w:t>
      </w:r>
    </w:p>
    <w:p w14:paraId="1FEC3A17">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第十七条　评审资格与时效</w:t>
      </w:r>
    </w:p>
    <w:p w14:paraId="16FF6F0D">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（一）审稿专家在收到审稿邀请时，应审视自己的专业知识和研究方向与所评审稿件是否匹配，如不匹配应及时告知编辑部。</w:t>
      </w:r>
    </w:p>
    <w:p w14:paraId="554E0B0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（二）应审视自己是否有充足时间在规定期限内完成评审，如不能按时完成应及时告知编辑部。</w:t>
      </w:r>
    </w:p>
    <w:p w14:paraId="77FBDAD0">
      <w:pPr>
        <w:rPr>
          <w:rFonts w:hint="eastAsia" w:ascii="宋体" w:hAnsi="宋体" w:eastAsia="宋体" w:cs="宋体"/>
          <w:color w:val="auto"/>
          <w:sz w:val="28"/>
          <w:szCs w:val="28"/>
        </w:rPr>
      </w:pPr>
    </w:p>
    <w:p w14:paraId="4457846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第十八条　客观公正</w:t>
      </w:r>
    </w:p>
    <w:p w14:paraId="24BC1B48">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审稿专家应以维护学术诚信为原则，运用专业知识和判断能力，对稿件的学术质量、创新性、科学性做出诚实、客观、公正的评估，及时给出合理、有建设性的评审意见。</w:t>
      </w:r>
    </w:p>
    <w:p w14:paraId="1C1B9761">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第十九条　保密义务</w:t>
      </w:r>
    </w:p>
    <w:p w14:paraId="3CF03399">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（一）审稿专家应遵守同行评议的保密原则，不得在评审过程中及审稿完成后向任何无关人员透露稿件内容及相关信息。</w:t>
      </w:r>
    </w:p>
    <w:p w14:paraId="2DCFDDC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（二）未经编辑部许可，不得将论文转交他人审理。</w:t>
      </w:r>
    </w:p>
    <w:p w14:paraId="3B30548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（三）不得使用或发表所审阅稿件的数据、观点、结论。</w:t>
      </w:r>
    </w:p>
    <w:p w14:paraId="0487852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第二十条　学术不端核查</w:t>
      </w:r>
    </w:p>
    <w:p w14:paraId="399AA878">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审稿专家在审稿过程中应检查稿件中是否存在剽窃、篡改、伪造、重复发表等学术不端行为，如发现可疑情况应及时告知编辑部。</w:t>
      </w:r>
    </w:p>
    <w:p w14:paraId="649A5CE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第二十一条　利益冲突</w:t>
      </w:r>
    </w:p>
    <w:p w14:paraId="57C11A27">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（一）审稿专家应审视自身是否与所评审稿件存在潜在利益冲突。如存在利益关联，应主动告知编辑部并回避评审。</w:t>
      </w:r>
    </w:p>
    <w:p w14:paraId="2B1AAA9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（二）仅能建议增加与论文研究内容相关的重要参考文献，不应为提高引用次数而建议作者引用本人或其同事的文章。</w:t>
      </w:r>
    </w:p>
    <w:p w14:paraId="64C81088">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第五章　伦理审查流程</w:t>
      </w:r>
    </w:p>
    <w:p w14:paraId="759DA56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第二十二条　审查环节</w:t>
      </w:r>
    </w:p>
    <w:p w14:paraId="1D3B623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本刊学术伦理审查贯穿稿件处理全流程，包括以下环节：</w:t>
      </w:r>
    </w:p>
    <w:p w14:paraId="69CEE31E">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（一）投稿环节：作者在投稿时须通过单位介绍信等方式确认该研究符合学术和伦理道德规范。</w:t>
      </w:r>
    </w:p>
    <w:p w14:paraId="4830D1FE">
      <w:pPr>
        <w:rPr>
          <w:rFonts w:hint="eastAsia" w:ascii="宋体" w:hAnsi="宋体" w:eastAsia="宋体" w:cs="宋体"/>
          <w:color w:val="auto"/>
          <w:sz w:val="28"/>
          <w:szCs w:val="28"/>
        </w:rPr>
      </w:pPr>
    </w:p>
    <w:p w14:paraId="46C8FBD6">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（二）初审环节：编辑部对来稿进行形式和伦理初审，包括学术不端检测、作者身份核验、研究伦理合规性初步审查等。</w:t>
      </w:r>
    </w:p>
    <w:p w14:paraId="62CEBCD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（三）外审环节：审稿专家在评审过程中对稿件的学术伦理问题进行核查，包括数据真实性、研究方法伦理性、文献引用规范性等。</w:t>
      </w:r>
    </w:p>
    <w:p w14:paraId="48F28484">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（四）终审环节：编委会或主编对稿件的整体学术质量和伦理合规性进行最终审核。</w:t>
      </w:r>
    </w:p>
    <w:p w14:paraId="045F771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第二十三条　审查内容</w:t>
      </w:r>
    </w:p>
    <w:p w14:paraId="6280D3B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伦理审查主要内容包括但不限于：</w:t>
      </w:r>
    </w:p>
    <w:p w14:paraId="34092251">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（一）是否存在抄袭、剽窃行为；</w:t>
      </w:r>
    </w:p>
    <w:p w14:paraId="23A8C58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（二）是否存在数据造假、图片篡改行为；</w:t>
      </w:r>
    </w:p>
    <w:p w14:paraId="3F57DBEA">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（三）是否存在一稿多投、重复发表行为；</w:t>
      </w:r>
    </w:p>
    <w:p w14:paraId="7836E09E">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（四）是否存在不当署名（挂名、冒名）行为；</w:t>
      </w:r>
    </w:p>
    <w:p w14:paraId="7553A0FB">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（五）涉及人或动物的研究是否获得相应伦理审查批准；</w:t>
      </w:r>
    </w:p>
    <w:p w14:paraId="48ECE76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（六）利益冲突和资助来源是否如实披露；</w:t>
      </w:r>
    </w:p>
    <w:p w14:paraId="5541E936">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（七）AI工具使用是否符合规范。</w:t>
      </w:r>
    </w:p>
    <w:p w14:paraId="00DA6333">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第二十四条　高风险研究审查</w:t>
      </w:r>
    </w:p>
    <w:p w14:paraId="4DF37000">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对于涉及人工智能、数据隐私等高风险研究领域的论文，本刊可根据需要邀请相关学科专家联合进行伦理审查，有效防控科技伦理风险。</w:t>
      </w:r>
    </w:p>
    <w:p w14:paraId="4610DF06">
      <w:pPr>
        <w:ind w:firstLine="5040" w:firstLineChars="1800"/>
        <w:rPr>
          <w:rFonts w:hint="eastAsia" w:ascii="宋体" w:hAnsi="宋体" w:eastAsia="宋体" w:cs="宋体"/>
          <w:color w:val="auto"/>
          <w:sz w:val="28"/>
          <w:szCs w:val="28"/>
        </w:rPr>
      </w:pPr>
      <w:r>
        <w:rPr>
          <w:rFonts w:hint="eastAsia" w:ascii="宋体" w:hAnsi="宋体" w:eastAsia="宋体" w:cs="宋体"/>
          <w:color w:val="auto"/>
          <w:sz w:val="28"/>
          <w:szCs w:val="28"/>
        </w:rPr>
        <w:t>《科技创业月刊》编辑部</w:t>
      </w:r>
    </w:p>
    <w:p w14:paraId="2C0D07D5">
      <w:pPr>
        <w:ind w:firstLine="6160" w:firstLineChars="2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2026年3月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A47478"/>
    <w:rsid w:val="60EE6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3563</Words>
  <Characters>3627</Characters>
  <Lines>0</Lines>
  <Paragraphs>0</Paragraphs>
  <TotalTime>77</TotalTime>
  <ScaleCrop>false</ScaleCrop>
  <LinksUpToDate>false</LinksUpToDate>
  <CharactersWithSpaces>3674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2026-07-28T01:55:00Z</dcterms:created>
  <dc:creator>Administrator</dc:creator>
  <cp:lastModifiedBy>Administrator</cp:lastModifiedBy>
  <dcterms:modified xsi:type="dcterms:W3CDTF">2026-07-28T03:38:25Z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eyJoZGlkIjoiNjJhMDFiMjFiY2RhOTQ3NTRkYzY3ODRlY2E4YjRkZmYiLCJ1c2VySWQiOiI4NDgyNjE4MTEifQ==</vt:lpwstr>
  </property>
  <property fmtid="{D5CDD505-2E9C-101B-9397-08002B2CF9AE}" pid="4" name="ICV">
    <vt:lpwstr>DF52A902D62244668492083C04509F74_12</vt:lpwstr>
  </property>
</Properties>
</file>